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A1" w:rsidRDefault="00A564AE" w:rsidP="001C390A">
      <w:pPr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L’</w:t>
      </w:r>
      <w:r w:rsidR="00B31B62">
        <w:rPr>
          <w:rFonts w:ascii="Arial" w:hAnsi="Arial" w:cs="Arial"/>
          <w:b/>
          <w:sz w:val="28"/>
          <w:szCs w:val="28"/>
          <w:u w:val="single"/>
          <w:lang w:val="fr-CH"/>
        </w:rPr>
        <w:t>entretien d’</w:t>
      </w:r>
      <w:r>
        <w:rPr>
          <w:rFonts w:ascii="Arial" w:hAnsi="Arial" w:cs="Arial"/>
          <w:b/>
          <w:sz w:val="28"/>
          <w:szCs w:val="28"/>
          <w:u w:val="single"/>
          <w:lang w:val="fr-CH"/>
        </w:rPr>
        <w:t xml:space="preserve">évaluation en </w:t>
      </w:r>
      <w:r w:rsidR="001D5F02">
        <w:rPr>
          <w:rFonts w:ascii="Arial" w:hAnsi="Arial" w:cs="Arial"/>
          <w:b/>
          <w:sz w:val="28"/>
          <w:szCs w:val="28"/>
          <w:u w:val="single"/>
          <w:lang w:val="fr-CH"/>
        </w:rPr>
        <w:t>salle d’opération et en salle de réveil</w:t>
      </w:r>
    </w:p>
    <w:p w:rsidR="00DF4F02" w:rsidRPr="001C390A" w:rsidRDefault="00DF4F02" w:rsidP="001C390A">
      <w:pPr>
        <w:ind w:firstLine="426"/>
        <w:rPr>
          <w:rFonts w:ascii="Arial" w:hAnsi="Arial" w:cs="Arial"/>
          <w:i/>
          <w:sz w:val="24"/>
          <w:szCs w:val="24"/>
          <w:lang w:val="fr-CH"/>
        </w:rPr>
      </w:pPr>
      <w:r w:rsidRPr="001C390A">
        <w:rPr>
          <w:rFonts w:ascii="Arial" w:hAnsi="Arial" w:cs="Arial"/>
          <w:b/>
          <w:sz w:val="24"/>
          <w:szCs w:val="24"/>
          <w:u w:val="single"/>
          <w:lang w:val="fr-CH"/>
        </w:rPr>
        <w:t>Organisation</w:t>
      </w:r>
    </w:p>
    <w:p w:rsidR="001C390A" w:rsidRPr="001C390A" w:rsidRDefault="001C390A" w:rsidP="001C390A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 xml:space="preserve">Entretien en groupes de </w:t>
      </w:r>
      <w:r w:rsidRPr="001C390A">
        <w:rPr>
          <w:rFonts w:ascii="Arial" w:hAnsi="Arial" w:cs="Arial"/>
          <w:b/>
          <w:sz w:val="24"/>
          <w:szCs w:val="24"/>
          <w:lang w:val="fr-CH"/>
        </w:rPr>
        <w:t>max. 3 étudiants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d’une durée de </w:t>
      </w:r>
      <w:r w:rsidRPr="001C390A">
        <w:rPr>
          <w:rFonts w:ascii="Arial" w:hAnsi="Arial" w:cs="Arial"/>
          <w:b/>
          <w:sz w:val="24"/>
          <w:szCs w:val="24"/>
          <w:lang w:val="fr-CH"/>
        </w:rPr>
        <w:t>2,5 heures</w:t>
      </w:r>
      <w:r w:rsidRPr="001C390A">
        <w:rPr>
          <w:rFonts w:ascii="Arial" w:hAnsi="Arial" w:cs="Arial"/>
          <w:sz w:val="24"/>
          <w:szCs w:val="24"/>
          <w:lang w:val="fr-CH"/>
        </w:rPr>
        <w:t>.</w:t>
      </w:r>
    </w:p>
    <w:p w:rsidR="001C390A" w:rsidRPr="001C390A" w:rsidRDefault="001C390A" w:rsidP="001C390A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 xml:space="preserve">L’évaluation se limite au </w:t>
      </w:r>
      <w:r w:rsidRPr="001C390A">
        <w:rPr>
          <w:rFonts w:ascii="Arial" w:hAnsi="Arial" w:cs="Arial"/>
          <w:b/>
          <w:sz w:val="24"/>
          <w:szCs w:val="24"/>
          <w:lang w:val="fr-CH"/>
        </w:rPr>
        <w:t>jugement professionnel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et à </w:t>
      </w:r>
      <w:r w:rsidRPr="001C390A">
        <w:rPr>
          <w:rFonts w:ascii="Arial" w:hAnsi="Arial" w:cs="Arial"/>
          <w:b/>
          <w:sz w:val="24"/>
          <w:szCs w:val="24"/>
          <w:lang w:val="fr-CH"/>
        </w:rPr>
        <w:t>l’engagement professionnel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et tient compte de l’évaluation de l’enseignant et de l’évaluation du terrain de stage.</w:t>
      </w:r>
    </w:p>
    <w:p w:rsidR="00A564AE" w:rsidRPr="001C390A" w:rsidRDefault="001C390A" w:rsidP="001C390A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 xml:space="preserve">L’entretien se fera soit sur le terrain, soit au LTPS, mais dans ce cas, l’enseignant est tenu de </w:t>
      </w:r>
      <w:r w:rsidRPr="001C390A">
        <w:rPr>
          <w:rFonts w:ascii="Arial" w:hAnsi="Arial" w:cs="Arial"/>
          <w:b/>
          <w:sz w:val="24"/>
          <w:szCs w:val="24"/>
          <w:lang w:val="fr-CH"/>
        </w:rPr>
        <w:t>contacter le terrain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pour avoir un feedback sur les étudiants.</w:t>
      </w:r>
    </w:p>
    <w:p w:rsidR="000B5C5F" w:rsidRPr="001C390A" w:rsidRDefault="000B5C5F" w:rsidP="001C390A">
      <w:pPr>
        <w:pStyle w:val="Listecouleur-Accent11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1D5F02" w:rsidRPr="001C390A" w:rsidRDefault="001D5F02" w:rsidP="001C390A">
      <w:pPr>
        <w:pStyle w:val="Listecouleur-Accent11"/>
        <w:spacing w:before="240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1C390A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Objectifs du stage en salle d’opération et en salle de réveil </w:t>
      </w:r>
    </w:p>
    <w:p w:rsidR="001D5F02" w:rsidRPr="001C390A" w:rsidRDefault="001D5F02" w:rsidP="001C390A">
      <w:pPr>
        <w:pStyle w:val="ListeNiveau1"/>
        <w:numPr>
          <w:ilvl w:val="0"/>
          <w:numId w:val="0"/>
        </w:numPr>
        <w:spacing w:line="276" w:lineRule="auto"/>
        <w:ind w:left="357"/>
        <w:jc w:val="both"/>
        <w:rPr>
          <w:rFonts w:ascii="ArialNarrow" w:hAnsi="ArialNarrow" w:cs="ArialNarrow"/>
          <w:sz w:val="24"/>
          <w:szCs w:val="24"/>
          <w:lang w:eastAsia="fr-LU"/>
        </w:rPr>
      </w:pPr>
      <w:r w:rsidRPr="001C390A">
        <w:rPr>
          <w:sz w:val="24"/>
          <w:szCs w:val="24"/>
        </w:rPr>
        <w:t>L’étudiant </w:t>
      </w:r>
      <w:r w:rsidRPr="001C390A">
        <w:rPr>
          <w:rFonts w:ascii="ArialNarrow" w:hAnsi="ArialNarrow" w:cs="ArialNarrow"/>
          <w:sz w:val="24"/>
          <w:szCs w:val="24"/>
          <w:lang w:eastAsia="fr-LU"/>
        </w:rPr>
        <w:t xml:space="preserve"> 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identifie le rôle et les fonctions de chaque intervenant dans une salle d’opération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explique la spécificité de l’architecture et de l’organisation des soins dans une salle d’opération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 xml:space="preserve">fait le recueil de données pour une personne à opérer selon une fiche spécifique et mobilise ses connaissances de la pathologie chirurgicale et de la pharmacologie 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aide ou assiste à l’accueil au bloc opératoire d’une personne devant subir une intervention chirurgicale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aide à la préparation, ouverture, contrôle du matériel stérile (dispositifs médicaux) pour les interventions chirurgicales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aide</w:t>
      </w:r>
      <w:r w:rsidR="00BE0FB9" w:rsidRPr="001C390A">
        <w:rPr>
          <w:sz w:val="24"/>
          <w:szCs w:val="24"/>
        </w:rPr>
        <w:t>, si possible,</w:t>
      </w:r>
      <w:r w:rsidRPr="001C390A">
        <w:rPr>
          <w:sz w:val="24"/>
          <w:szCs w:val="24"/>
        </w:rPr>
        <w:t xml:space="preserve"> à la préparation d’une petite table d’intervention type AT, paracentèse (ORL), curetage (Gynécologie)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observe des interventions chirurgicales dans la zone stérile avec initiation au lavage chirurgicale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exécute les prestations de soins apprises dans sa formation (comme par exemple le sondage urinaire) et exerce sa dextérité</w:t>
      </w:r>
    </w:p>
    <w:p w:rsidR="001D5F02" w:rsidRPr="001C390A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communique avec l’équipe de salle d’opération et avec la personne à opérer et développe son savoir relationnel dans des situations spécifiques de traitements chirurgicaux</w:t>
      </w:r>
    </w:p>
    <w:p w:rsidR="00CC35D3" w:rsidRPr="00767535" w:rsidRDefault="001D5F02" w:rsidP="001C390A">
      <w:pPr>
        <w:pStyle w:val="ListeNiveau1"/>
        <w:numPr>
          <w:ilvl w:val="0"/>
          <w:numId w:val="11"/>
        </w:numPr>
        <w:spacing w:line="276" w:lineRule="auto"/>
        <w:ind w:right="33"/>
        <w:jc w:val="both"/>
        <w:rPr>
          <w:sz w:val="24"/>
          <w:szCs w:val="24"/>
        </w:rPr>
      </w:pPr>
      <w:r w:rsidRPr="001C390A">
        <w:rPr>
          <w:sz w:val="24"/>
          <w:szCs w:val="24"/>
        </w:rPr>
        <w:t>suit le bénéficiaire de soins opéré en salle de réveil et assiste à sa surveillance postopératoire directe.</w:t>
      </w:r>
    </w:p>
    <w:p w:rsidR="00767535" w:rsidRDefault="00767535" w:rsidP="00767535">
      <w:pPr>
        <w:pStyle w:val="Listecouleur-Accent11"/>
        <w:spacing w:before="240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767535">
        <w:rPr>
          <w:rFonts w:ascii="Arial" w:hAnsi="Arial" w:cs="Arial"/>
          <w:b/>
          <w:sz w:val="24"/>
          <w:szCs w:val="24"/>
          <w:u w:val="single"/>
          <w:lang w:val="fr-CH"/>
        </w:rPr>
        <w:t>Thèmes à discuter lors de l’entretien</w:t>
      </w:r>
    </w:p>
    <w:p w:rsidR="00767535" w:rsidRPr="00767535" w:rsidRDefault="00767535" w:rsidP="00767535">
      <w:pPr>
        <w:pStyle w:val="Listecouleur-Accent11"/>
        <w:spacing w:before="240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1D5F02" w:rsidRPr="001C390A" w:rsidRDefault="001D5F02" w:rsidP="001C390A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 xml:space="preserve">Les </w:t>
      </w:r>
      <w:r w:rsidRPr="001C390A">
        <w:rPr>
          <w:rFonts w:ascii="Arial" w:hAnsi="Arial" w:cs="Arial"/>
          <w:b/>
          <w:sz w:val="24"/>
          <w:szCs w:val="24"/>
          <w:lang w:val="fr-CH"/>
        </w:rPr>
        <w:t>objectifs spécifiques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fixés par l’étudiant et </w:t>
      </w:r>
      <w:r w:rsidRPr="001C390A">
        <w:rPr>
          <w:rFonts w:ascii="Arial" w:hAnsi="Arial" w:cs="Arial"/>
          <w:b/>
          <w:sz w:val="24"/>
          <w:szCs w:val="24"/>
          <w:lang w:val="fr-CH"/>
        </w:rPr>
        <w:t>son autoévaluation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selon ses propres objectifs et ceux du stage (voir ci-dessus)</w:t>
      </w:r>
    </w:p>
    <w:p w:rsidR="00A564AE" w:rsidRPr="001C390A" w:rsidRDefault="00833C09" w:rsidP="001C390A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>L</w:t>
      </w:r>
      <w:r w:rsidR="00AC4FA1" w:rsidRPr="001C390A">
        <w:rPr>
          <w:rFonts w:ascii="Arial" w:hAnsi="Arial" w:cs="Arial"/>
          <w:sz w:val="24"/>
          <w:szCs w:val="24"/>
          <w:lang w:val="fr-CH"/>
        </w:rPr>
        <w:t>e service de</w:t>
      </w:r>
      <w:r w:rsidR="001D5F02" w:rsidRPr="001C390A">
        <w:rPr>
          <w:rFonts w:ascii="Arial" w:hAnsi="Arial" w:cs="Arial"/>
          <w:sz w:val="24"/>
          <w:szCs w:val="24"/>
          <w:lang w:val="fr-CH"/>
        </w:rPr>
        <w:t>s interventions chirurgicales/salles d’opérations</w:t>
      </w:r>
      <w:r w:rsidRPr="001C390A">
        <w:rPr>
          <w:rFonts w:ascii="Arial" w:hAnsi="Arial" w:cs="Arial"/>
          <w:sz w:val="24"/>
          <w:szCs w:val="24"/>
          <w:lang w:val="fr-CH"/>
        </w:rPr>
        <w:t>:</w:t>
      </w:r>
    </w:p>
    <w:p w:rsidR="001D5F02" w:rsidRPr="001C390A" w:rsidRDefault="001D5F02" w:rsidP="001C390A">
      <w:pPr>
        <w:pStyle w:val="Listecouleur-Accent11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>importance du service dans l’organigramme général de l’hôpital.</w:t>
      </w:r>
    </w:p>
    <w:p w:rsidR="001D5F02" w:rsidRPr="001C390A" w:rsidRDefault="001D5F02" w:rsidP="001C390A">
      <w:pPr>
        <w:pStyle w:val="Listecouleur-Accent11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>organisation générale avec les spécificités de l’architecture et de l’organisation du service</w:t>
      </w:r>
    </w:p>
    <w:p w:rsidR="001D5F02" w:rsidRPr="001C390A" w:rsidRDefault="00186206" w:rsidP="001C390A">
      <w:pPr>
        <w:pStyle w:val="Listecouleur-Accent11"/>
        <w:numPr>
          <w:ilvl w:val="1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>Interventions chirurgicales exécutées le plus couramment</w:t>
      </w:r>
      <w:r w:rsidR="001D5F02" w:rsidRPr="001C390A">
        <w:rPr>
          <w:rFonts w:ascii="Arial" w:hAnsi="Arial" w:cs="Arial"/>
          <w:sz w:val="24"/>
          <w:szCs w:val="24"/>
          <w:lang w:val="fr-CH"/>
        </w:rPr>
        <w:t>.</w:t>
      </w:r>
    </w:p>
    <w:p w:rsidR="007D5878" w:rsidRPr="001C390A" w:rsidRDefault="001D5F02" w:rsidP="001C390A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 xml:space="preserve">Différences essentielles entre le service en question et les services d’hospitalisation classiques: </w:t>
      </w:r>
      <w:r w:rsidR="007D5878" w:rsidRPr="001C390A">
        <w:rPr>
          <w:rFonts w:ascii="Arial" w:hAnsi="Arial" w:cs="Arial"/>
          <w:sz w:val="24"/>
          <w:szCs w:val="24"/>
          <w:lang w:val="fr-CH"/>
        </w:rPr>
        <w:t>prise en charge des bds, travail en équipe, relation équipe médicale</w:t>
      </w:r>
      <w:r w:rsidR="001C390A">
        <w:rPr>
          <w:rFonts w:ascii="Arial" w:hAnsi="Arial" w:cs="Arial"/>
          <w:sz w:val="24"/>
          <w:szCs w:val="24"/>
          <w:lang w:val="fr-CH"/>
        </w:rPr>
        <w:t xml:space="preserve"> </w:t>
      </w:r>
      <w:r w:rsidR="007D5878" w:rsidRPr="001C390A">
        <w:rPr>
          <w:rFonts w:ascii="Arial" w:hAnsi="Arial" w:cs="Arial"/>
          <w:sz w:val="24"/>
          <w:szCs w:val="24"/>
          <w:lang w:val="fr-CH"/>
        </w:rPr>
        <w:t>/</w:t>
      </w:r>
      <w:r w:rsidR="001C390A">
        <w:rPr>
          <w:rFonts w:ascii="Arial" w:hAnsi="Arial" w:cs="Arial"/>
          <w:sz w:val="24"/>
          <w:szCs w:val="24"/>
          <w:lang w:val="fr-CH"/>
        </w:rPr>
        <w:t xml:space="preserve"> </w:t>
      </w:r>
      <w:r w:rsidR="007D5878" w:rsidRPr="001C390A">
        <w:rPr>
          <w:rFonts w:ascii="Arial" w:hAnsi="Arial" w:cs="Arial"/>
          <w:sz w:val="24"/>
          <w:szCs w:val="24"/>
          <w:lang w:val="fr-CH"/>
        </w:rPr>
        <w:t>équipe de soins</w:t>
      </w:r>
      <w:r w:rsidR="001C390A" w:rsidRPr="001C390A">
        <w:rPr>
          <w:rFonts w:ascii="Arial" w:hAnsi="Arial" w:cs="Arial"/>
          <w:sz w:val="24"/>
          <w:szCs w:val="24"/>
          <w:lang w:val="fr-CH"/>
        </w:rPr>
        <w:t>.</w:t>
      </w:r>
      <w:r w:rsidR="007D5878" w:rsidRPr="001C390A">
        <w:rPr>
          <w:rFonts w:ascii="Arial" w:hAnsi="Arial" w:cs="Arial"/>
          <w:sz w:val="24"/>
          <w:szCs w:val="24"/>
          <w:lang w:val="fr-CH"/>
        </w:rPr>
        <w:t> </w:t>
      </w:r>
    </w:p>
    <w:p w:rsidR="00186206" w:rsidRPr="001C390A" w:rsidRDefault="00186206" w:rsidP="001C390A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lastRenderedPageBreak/>
        <w:t>Description des soins effectués et des spécificités du rôle infirmier dans le service fréquent</w:t>
      </w:r>
      <w:bookmarkStart w:id="0" w:name="_GoBack"/>
      <w:bookmarkEnd w:id="0"/>
      <w:r w:rsidRPr="001C390A">
        <w:rPr>
          <w:rFonts w:ascii="Arial" w:hAnsi="Arial" w:cs="Arial"/>
          <w:sz w:val="24"/>
          <w:szCs w:val="24"/>
          <w:lang w:val="fr-CH"/>
        </w:rPr>
        <w:t>é (infirmier anesthésiste, instrumentiste et infirmière tournante, etc</w:t>
      </w:r>
      <w:r w:rsidR="001C390A">
        <w:rPr>
          <w:rFonts w:ascii="Arial" w:hAnsi="Arial" w:cs="Arial"/>
          <w:sz w:val="24"/>
          <w:szCs w:val="24"/>
          <w:lang w:val="fr-CH"/>
        </w:rPr>
        <w:t>..</w:t>
      </w:r>
      <w:r w:rsidRPr="001C390A">
        <w:rPr>
          <w:rFonts w:ascii="Arial" w:hAnsi="Arial" w:cs="Arial"/>
          <w:sz w:val="24"/>
          <w:szCs w:val="24"/>
          <w:lang w:val="fr-CH"/>
        </w:rPr>
        <w:t>.).</w:t>
      </w:r>
    </w:p>
    <w:p w:rsidR="00186206" w:rsidRDefault="00186206" w:rsidP="00ED6428">
      <w:pPr>
        <w:pStyle w:val="Listecouleur-Accent1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 xml:space="preserve">Présentation </w:t>
      </w:r>
      <w:r w:rsidRPr="001C390A">
        <w:rPr>
          <w:rFonts w:ascii="Arial" w:hAnsi="Arial" w:cs="Arial"/>
          <w:b/>
          <w:sz w:val="24"/>
          <w:szCs w:val="24"/>
          <w:lang w:val="fr-CH"/>
        </w:rPr>
        <w:t xml:space="preserve">du cas d’un bénéficiaire de soins </w:t>
      </w:r>
      <w:r w:rsidR="00994EBA" w:rsidRPr="001C390A">
        <w:rPr>
          <w:rFonts w:ascii="Arial" w:hAnsi="Arial" w:cs="Arial"/>
          <w:b/>
          <w:sz w:val="24"/>
          <w:szCs w:val="24"/>
          <w:lang w:val="fr-CH"/>
        </w:rPr>
        <w:t>opéré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et </w:t>
      </w:r>
      <w:r w:rsidRPr="001C390A">
        <w:rPr>
          <w:rFonts w:ascii="Arial" w:hAnsi="Arial" w:cs="Arial"/>
          <w:b/>
          <w:sz w:val="24"/>
          <w:szCs w:val="24"/>
          <w:lang w:val="fr-CH"/>
        </w:rPr>
        <w:t>description détaillé</w:t>
      </w:r>
      <w:r w:rsidR="00994EBA" w:rsidRPr="001C390A">
        <w:rPr>
          <w:rFonts w:ascii="Arial" w:hAnsi="Arial" w:cs="Arial"/>
          <w:b/>
          <w:sz w:val="24"/>
          <w:szCs w:val="24"/>
          <w:lang w:val="fr-CH"/>
        </w:rPr>
        <w:t>e</w:t>
      </w:r>
      <w:r w:rsidRPr="001C390A">
        <w:rPr>
          <w:rFonts w:ascii="Arial" w:hAnsi="Arial" w:cs="Arial"/>
          <w:b/>
          <w:sz w:val="24"/>
          <w:szCs w:val="24"/>
          <w:lang w:val="fr-CH"/>
        </w:rPr>
        <w:t xml:space="preserve"> de l’intervention chirurgicale pratiquée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ainsi que de </w:t>
      </w:r>
      <w:r w:rsidRPr="001C390A">
        <w:rPr>
          <w:rFonts w:ascii="Arial" w:hAnsi="Arial" w:cs="Arial"/>
          <w:b/>
          <w:sz w:val="24"/>
          <w:szCs w:val="24"/>
          <w:lang w:val="fr-CH"/>
        </w:rPr>
        <w:t>la surveillance effectuée</w:t>
      </w:r>
      <w:r w:rsidRPr="001C390A">
        <w:rPr>
          <w:rFonts w:ascii="Arial" w:hAnsi="Arial" w:cs="Arial"/>
          <w:sz w:val="24"/>
          <w:szCs w:val="24"/>
          <w:lang w:val="fr-CH"/>
        </w:rPr>
        <w:t xml:space="preserve"> en salle d’opération et en salle de réveil</w:t>
      </w:r>
    </w:p>
    <w:p w:rsidR="00ED6428" w:rsidRPr="00ED6428" w:rsidRDefault="00ED6428" w:rsidP="00ED64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Analyse d’un vécu qui vous a marqué.</w:t>
      </w:r>
    </w:p>
    <w:p w:rsidR="008B3A0B" w:rsidRPr="001C390A" w:rsidRDefault="006D7FBC" w:rsidP="00ED6428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Un t</w:t>
      </w:r>
      <w:r w:rsidR="008B3A0B" w:rsidRPr="001C390A">
        <w:rPr>
          <w:rFonts w:ascii="Arial" w:hAnsi="Arial" w:cs="Arial"/>
          <w:b/>
          <w:sz w:val="24"/>
          <w:szCs w:val="24"/>
          <w:lang w:val="fr-CH"/>
        </w:rPr>
        <w:t>hème au choix</w:t>
      </w:r>
      <w:r w:rsidR="00123A9E" w:rsidRPr="001C390A">
        <w:rPr>
          <w:rFonts w:ascii="Arial" w:hAnsi="Arial" w:cs="Arial"/>
          <w:b/>
          <w:sz w:val="24"/>
          <w:szCs w:val="24"/>
          <w:lang w:val="fr-CH"/>
        </w:rPr>
        <w:t xml:space="preserve"> qui sera brièvement discuté avec l’enseignant</w:t>
      </w:r>
      <w:r w:rsidR="00123A9E" w:rsidRPr="001C390A">
        <w:rPr>
          <w:rFonts w:ascii="Arial" w:hAnsi="Arial" w:cs="Arial"/>
          <w:sz w:val="24"/>
          <w:szCs w:val="24"/>
          <w:lang w:val="fr-CH"/>
        </w:rPr>
        <w:t>:</w:t>
      </w:r>
    </w:p>
    <w:p w:rsidR="001C390A" w:rsidRPr="006D7FBC" w:rsidRDefault="00994EBA" w:rsidP="00ED6428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fr-CH" w:eastAsia="fr-LU"/>
        </w:rPr>
      </w:pPr>
      <w:r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Les angoisses du bds av</w:t>
      </w:r>
      <w:r w:rsidR="001C390A"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ant l’intervention chirurgicale.</w:t>
      </w:r>
    </w:p>
    <w:p w:rsidR="00994EBA" w:rsidRPr="006D7FBC" w:rsidRDefault="00994EBA" w:rsidP="006D7FBC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fr-CH" w:eastAsia="fr-LU"/>
        </w:rPr>
      </w:pPr>
      <w:r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L’information du bénéficiaire de soins en salle d’opération</w:t>
      </w:r>
      <w:r w:rsidR="001C390A"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.</w:t>
      </w:r>
    </w:p>
    <w:p w:rsidR="00131C96" w:rsidRPr="006D7FBC" w:rsidRDefault="00131C96" w:rsidP="006D7FBC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fr-CH" w:eastAsia="fr-LU"/>
        </w:rPr>
      </w:pPr>
      <w:r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Les complications en salle de réveil (anesthésiques et chirurgicales).</w:t>
      </w:r>
    </w:p>
    <w:p w:rsidR="00994EBA" w:rsidRPr="006D7FBC" w:rsidRDefault="00994EBA" w:rsidP="006D7FBC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fr-CH" w:eastAsia="fr-LU"/>
        </w:rPr>
      </w:pPr>
      <w:r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L’impact de l’anesthésie sur le bds au réveil en salle d’op et en salle de réveil.</w:t>
      </w:r>
    </w:p>
    <w:p w:rsidR="00994EBA" w:rsidRPr="006D7FBC" w:rsidRDefault="00994EBA" w:rsidP="006D7FBC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fr-CH" w:eastAsia="fr-LU"/>
        </w:rPr>
      </w:pPr>
      <w:r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La mort d’un bénéficiaire de soins en salle d’OP ou en salle de réveil</w:t>
      </w:r>
    </w:p>
    <w:p w:rsidR="0016591B" w:rsidRPr="006D7FBC" w:rsidRDefault="0016591B" w:rsidP="006D7FBC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val="fr-CH" w:eastAsia="fr-LU"/>
        </w:rPr>
      </w:pPr>
      <w:r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 xml:space="preserve">Tout autre sujet intéressant dans le contexte </w:t>
      </w:r>
      <w:r w:rsidR="00F336D4"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de</w:t>
      </w:r>
      <w:r w:rsidR="0035793B"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s soins en</w:t>
      </w:r>
      <w:r w:rsidR="00F336D4"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 xml:space="preserve"> salle d’op</w:t>
      </w:r>
      <w:r w:rsidR="0035793B" w:rsidRPr="006D7FBC">
        <w:rPr>
          <w:rFonts w:ascii="Arial" w:eastAsiaTheme="minorEastAsia" w:hAnsi="Arial" w:cs="Arial"/>
          <w:sz w:val="24"/>
          <w:szCs w:val="24"/>
          <w:lang w:val="fr-CH" w:eastAsia="fr-LU"/>
        </w:rPr>
        <w:t>ération ou de réveil.</w:t>
      </w:r>
    </w:p>
    <w:p w:rsidR="0016591B" w:rsidRPr="001C390A" w:rsidRDefault="0016591B" w:rsidP="001C390A">
      <w:pPr>
        <w:pStyle w:val="Listecouleur-Accent11"/>
        <w:spacing w:after="0"/>
        <w:ind w:left="1068"/>
        <w:jc w:val="both"/>
        <w:rPr>
          <w:rFonts w:ascii="Arial" w:hAnsi="Arial" w:cs="Arial"/>
          <w:sz w:val="24"/>
          <w:szCs w:val="24"/>
          <w:lang w:val="fr-CH"/>
        </w:rPr>
      </w:pPr>
    </w:p>
    <w:p w:rsidR="001C390A" w:rsidRDefault="001C390A" w:rsidP="001C390A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4B3E7D">
        <w:rPr>
          <w:rFonts w:ascii="Arial" w:hAnsi="Arial" w:cs="Arial"/>
          <w:b/>
          <w:sz w:val="24"/>
          <w:szCs w:val="24"/>
          <w:u w:val="single"/>
          <w:lang w:val="fr-CH"/>
        </w:rPr>
        <w:t>Fiches à discuter et à classer dans le portfolio</w:t>
      </w:r>
    </w:p>
    <w:p w:rsidR="001C390A" w:rsidRPr="004B3E7D" w:rsidRDefault="001C390A" w:rsidP="001C390A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1A7244" w:rsidRPr="006119F1" w:rsidRDefault="001A7244" w:rsidP="001A724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trike/>
          <w:sz w:val="24"/>
          <w:szCs w:val="24"/>
          <w:lang w:val="fr-CH"/>
        </w:rPr>
      </w:pPr>
      <w:r w:rsidRPr="004B3E7D">
        <w:rPr>
          <w:rFonts w:ascii="Arial" w:hAnsi="Arial" w:cs="Arial"/>
          <w:sz w:val="24"/>
          <w:szCs w:val="24"/>
          <w:lang w:val="fr-CH"/>
        </w:rPr>
        <w:t>Fiche avec les objectifs personnels du stage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:rsidR="001A7244" w:rsidRPr="004B3E7D" w:rsidRDefault="001A7244" w:rsidP="001A724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</w:t>
      </w:r>
      <w:r w:rsidRPr="004B3E7D">
        <w:rPr>
          <w:rFonts w:ascii="Arial" w:hAnsi="Arial" w:cs="Arial"/>
          <w:sz w:val="24"/>
          <w:szCs w:val="24"/>
          <w:lang w:val="fr-CH"/>
        </w:rPr>
        <w:t>iche d’évaluation par le terrain de stage</w:t>
      </w:r>
      <w:r>
        <w:rPr>
          <w:rFonts w:ascii="Arial" w:hAnsi="Arial" w:cs="Arial"/>
          <w:sz w:val="24"/>
          <w:szCs w:val="24"/>
          <w:lang w:val="fr-CH"/>
        </w:rPr>
        <w:t xml:space="preserve">; à remplir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au moins une fois par semaine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:rsidR="00330909" w:rsidRPr="001C390A" w:rsidRDefault="00AA5178" w:rsidP="001C390A">
      <w:pPr>
        <w:pStyle w:val="Listecouleur-Accent1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u w:val="single"/>
          <w:lang w:val="fr-CH"/>
        </w:rPr>
      </w:pPr>
      <w:r w:rsidRPr="001C390A">
        <w:rPr>
          <w:rFonts w:ascii="Arial" w:hAnsi="Arial" w:cs="Arial"/>
          <w:sz w:val="24"/>
          <w:szCs w:val="24"/>
          <w:lang w:val="fr-CH"/>
        </w:rPr>
        <w:t>Relevé des actes réalisés en OP BSI</w:t>
      </w:r>
      <w:r w:rsidR="001C390A">
        <w:rPr>
          <w:rFonts w:ascii="Arial" w:hAnsi="Arial" w:cs="Arial"/>
          <w:sz w:val="24"/>
          <w:szCs w:val="24"/>
          <w:lang w:val="fr-CH"/>
        </w:rPr>
        <w:t>.</w:t>
      </w:r>
    </w:p>
    <w:p w:rsidR="000B5C5F" w:rsidRPr="001C390A" w:rsidRDefault="000B5C5F" w:rsidP="001C390A">
      <w:pPr>
        <w:pStyle w:val="Listecouleur-Accent11"/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1C390A" w:rsidRDefault="001C390A" w:rsidP="001C39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E00E9A">
        <w:rPr>
          <w:rFonts w:ascii="Arial" w:hAnsi="Arial" w:cs="Arial"/>
          <w:b/>
          <w:sz w:val="24"/>
          <w:szCs w:val="24"/>
          <w:u w:val="single"/>
          <w:lang w:val="fr-CH"/>
        </w:rPr>
        <w:t>Fiche d’évaluation de l’enseignant</w:t>
      </w:r>
    </w:p>
    <w:p w:rsidR="001C390A" w:rsidRPr="00E00E9A" w:rsidRDefault="001C390A" w:rsidP="001C39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:rsidR="00B9788D" w:rsidRPr="00C80792" w:rsidRDefault="001C390A" w:rsidP="001C390A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Chaque étudiant reçoit par e-mail de la part de l’enseignant une évaluation écrite pour le volet du jugement professionnel et de l’engagement professionnel au plus tard dans la semaine qui suit le stage en </w:t>
      </w:r>
      <w:r>
        <w:rPr>
          <w:rFonts w:ascii="Arial" w:hAnsi="Arial" w:cs="Arial"/>
          <w:sz w:val="24"/>
          <w:szCs w:val="24"/>
          <w:lang w:val="fr-CH"/>
        </w:rPr>
        <w:t>OP / salle de réveil.</w:t>
      </w:r>
    </w:p>
    <w:sectPr w:rsidR="00B9788D" w:rsidRPr="00C80792" w:rsidSect="000B5C5F">
      <w:pgSz w:w="11906" w:h="16838"/>
      <w:pgMar w:top="1134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6D6" w:rsidRDefault="006016D6" w:rsidP="0079135E">
      <w:pPr>
        <w:spacing w:after="0" w:line="240" w:lineRule="auto"/>
      </w:pPr>
      <w:r>
        <w:separator/>
      </w:r>
    </w:p>
  </w:endnote>
  <w:endnote w:type="continuationSeparator" w:id="0">
    <w:p w:rsidR="006016D6" w:rsidRDefault="006016D6" w:rsidP="0079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6D6" w:rsidRDefault="006016D6" w:rsidP="0079135E">
      <w:pPr>
        <w:spacing w:after="0" w:line="240" w:lineRule="auto"/>
      </w:pPr>
      <w:r>
        <w:separator/>
      </w:r>
    </w:p>
  </w:footnote>
  <w:footnote w:type="continuationSeparator" w:id="0">
    <w:p w:rsidR="006016D6" w:rsidRDefault="006016D6" w:rsidP="0079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074AA"/>
    <w:multiLevelType w:val="singleLevel"/>
    <w:tmpl w:val="568CC816"/>
    <w:lvl w:ilvl="0">
      <w:numFmt w:val="bullet"/>
      <w:pStyle w:val="ListeNiveau1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 w15:restartNumberingAfterBreak="0">
    <w:nsid w:val="073524EE"/>
    <w:multiLevelType w:val="hybridMultilevel"/>
    <w:tmpl w:val="5F1C4CC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3B2B3C"/>
    <w:multiLevelType w:val="hybridMultilevel"/>
    <w:tmpl w:val="94AE3DCE"/>
    <w:lvl w:ilvl="0" w:tplc="27DA27F0">
      <w:start w:val="1"/>
      <w:numFmt w:val="bullet"/>
      <w:lvlText w:val="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6D1818"/>
    <w:multiLevelType w:val="hybridMultilevel"/>
    <w:tmpl w:val="3BA0D858"/>
    <w:lvl w:ilvl="0" w:tplc="1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030EBC"/>
    <w:multiLevelType w:val="hybridMultilevel"/>
    <w:tmpl w:val="3E827E4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9ECA1596">
      <w:numFmt w:val="bullet"/>
      <w:lvlText w:val="-"/>
      <w:lvlJc w:val="left"/>
      <w:pPr>
        <w:ind w:left="2226" w:hanging="360"/>
      </w:pPr>
      <w:rPr>
        <w:rFonts w:ascii="Arial" w:eastAsia="Calibri" w:hAnsi="Arial" w:cs="Arial" w:hint="default"/>
        <w:sz w:val="26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F5B6C1F"/>
    <w:multiLevelType w:val="hybridMultilevel"/>
    <w:tmpl w:val="6630A7CC"/>
    <w:lvl w:ilvl="0" w:tplc="90BE4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9F0"/>
    <w:multiLevelType w:val="hybridMultilevel"/>
    <w:tmpl w:val="B4D4D15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032C85"/>
    <w:multiLevelType w:val="hybridMultilevel"/>
    <w:tmpl w:val="536854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FB06269"/>
    <w:multiLevelType w:val="hybridMultilevel"/>
    <w:tmpl w:val="60AE82AA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D793B8B"/>
    <w:multiLevelType w:val="hybridMultilevel"/>
    <w:tmpl w:val="BEB4830A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5ED68A1"/>
    <w:multiLevelType w:val="hybridMultilevel"/>
    <w:tmpl w:val="77DA848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4AE"/>
    <w:rsid w:val="00094258"/>
    <w:rsid w:val="000A76FB"/>
    <w:rsid w:val="000B5C5F"/>
    <w:rsid w:val="001018A5"/>
    <w:rsid w:val="00123A9E"/>
    <w:rsid w:val="00131C96"/>
    <w:rsid w:val="0016591B"/>
    <w:rsid w:val="0016597D"/>
    <w:rsid w:val="00186206"/>
    <w:rsid w:val="00194FC0"/>
    <w:rsid w:val="001A7244"/>
    <w:rsid w:val="001C025D"/>
    <w:rsid w:val="001C390A"/>
    <w:rsid w:val="001D5F02"/>
    <w:rsid w:val="001F764E"/>
    <w:rsid w:val="002045EA"/>
    <w:rsid w:val="00260C37"/>
    <w:rsid w:val="0026622D"/>
    <w:rsid w:val="0028715F"/>
    <w:rsid w:val="00314FFA"/>
    <w:rsid w:val="00330909"/>
    <w:rsid w:val="0035793B"/>
    <w:rsid w:val="00377B61"/>
    <w:rsid w:val="003A6030"/>
    <w:rsid w:val="003E66EF"/>
    <w:rsid w:val="00404479"/>
    <w:rsid w:val="00473765"/>
    <w:rsid w:val="004958F9"/>
    <w:rsid w:val="004A651E"/>
    <w:rsid w:val="005375C3"/>
    <w:rsid w:val="00573DE9"/>
    <w:rsid w:val="00574C48"/>
    <w:rsid w:val="006016D6"/>
    <w:rsid w:val="00601CBA"/>
    <w:rsid w:val="006C702F"/>
    <w:rsid w:val="006D7FBC"/>
    <w:rsid w:val="00767535"/>
    <w:rsid w:val="0079135E"/>
    <w:rsid w:val="007C05D4"/>
    <w:rsid w:val="007D3475"/>
    <w:rsid w:val="007D5878"/>
    <w:rsid w:val="007E0C62"/>
    <w:rsid w:val="00833C09"/>
    <w:rsid w:val="008B3A0B"/>
    <w:rsid w:val="008B6E99"/>
    <w:rsid w:val="009669C5"/>
    <w:rsid w:val="009939E3"/>
    <w:rsid w:val="00994EBA"/>
    <w:rsid w:val="00A564AE"/>
    <w:rsid w:val="00AA5178"/>
    <w:rsid w:val="00AB1F3A"/>
    <w:rsid w:val="00AC4FA1"/>
    <w:rsid w:val="00B015F4"/>
    <w:rsid w:val="00B31B62"/>
    <w:rsid w:val="00B4344D"/>
    <w:rsid w:val="00B5655F"/>
    <w:rsid w:val="00B73900"/>
    <w:rsid w:val="00B9788D"/>
    <w:rsid w:val="00BA2473"/>
    <w:rsid w:val="00BA6A94"/>
    <w:rsid w:val="00BD358D"/>
    <w:rsid w:val="00BE0FB9"/>
    <w:rsid w:val="00C80792"/>
    <w:rsid w:val="00CB5D25"/>
    <w:rsid w:val="00CC35D3"/>
    <w:rsid w:val="00CD726A"/>
    <w:rsid w:val="00CD7EDE"/>
    <w:rsid w:val="00D2509C"/>
    <w:rsid w:val="00D40065"/>
    <w:rsid w:val="00D6461D"/>
    <w:rsid w:val="00DB3C0B"/>
    <w:rsid w:val="00DB7AE4"/>
    <w:rsid w:val="00DD2BC6"/>
    <w:rsid w:val="00DE0F62"/>
    <w:rsid w:val="00DF4F02"/>
    <w:rsid w:val="00DF638F"/>
    <w:rsid w:val="00E224A9"/>
    <w:rsid w:val="00E2502A"/>
    <w:rsid w:val="00E644C7"/>
    <w:rsid w:val="00ED6428"/>
    <w:rsid w:val="00F336D4"/>
    <w:rsid w:val="00F573C8"/>
    <w:rsid w:val="00F6447E"/>
    <w:rsid w:val="00FE210F"/>
    <w:rsid w:val="00FF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76177"/>
  <w15:docId w15:val="{9FFC639C-460A-1148-A543-F9C574CD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AE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A564AE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64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5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F4"/>
    <w:rPr>
      <w:rFonts w:ascii="Lucida Grande" w:hAnsi="Lucida Grande" w:cs="Lucida Grande"/>
      <w:sz w:val="18"/>
      <w:szCs w:val="18"/>
      <w:lang w:val="de-DE" w:eastAsia="en-US"/>
    </w:rPr>
  </w:style>
  <w:style w:type="paragraph" w:customStyle="1" w:styleId="ListeNiveau1">
    <w:name w:val="ListeNiveau1"/>
    <w:basedOn w:val="Normal"/>
    <w:rsid w:val="001D5F02"/>
    <w:pPr>
      <w:numPr>
        <w:numId w:val="10"/>
      </w:numPr>
      <w:spacing w:after="0" w:line="240" w:lineRule="auto"/>
    </w:pPr>
    <w:rPr>
      <w:rFonts w:ascii="Arial" w:eastAsia="Times New Roman" w:hAnsi="Arial" w:cs="Arial"/>
      <w:sz w:val="20"/>
      <w:szCs w:val="20"/>
      <w:lang w:val="fr-LU"/>
    </w:rPr>
  </w:style>
  <w:style w:type="paragraph" w:styleId="Header">
    <w:name w:val="header"/>
    <w:basedOn w:val="Normal"/>
    <w:link w:val="HeaderChar"/>
    <w:uiPriority w:val="99"/>
    <w:unhideWhenUsed/>
    <w:rsid w:val="0079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5E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79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5E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29" ma:contentTypeDescription="eduDoc - Upload" ma:contentTypeScope="" ma:versionID="aab2fed9cbcacada7b533b5663f66678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9d7764c07dd90e0fce4e0fc53ef36d6c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RAE5FHM35TEP-2133288528-6206</_dlc_DocId>
    <_dlc_DocIdUrl xmlns="dd63df5f-df14-4e4c-989f-178c0b9f4c22">
      <Url>https://365education.sharepoint.com/sites/eduDocs/_layouts/15/DocIdRedir.aspx?ID=RAE5FHM35TEP-2133288528-6206</Url>
      <Description>RAE5FHM35TEP-2133288528-6206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B30C7-3310-43AA-90BF-584F52D914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71A9B7-30BB-4079-90E2-F853E402CD33}"/>
</file>

<file path=customXml/itemProps3.xml><?xml version="1.0" encoding="utf-8"?>
<ds:datastoreItem xmlns:ds="http://schemas.openxmlformats.org/officeDocument/2006/customXml" ds:itemID="{59262CD8-5556-48CF-AAE8-B2718B0BBF76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F7EC302-8B93-428F-BEE0-F46BAE545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Dumange</dc:creator>
  <cp:lastModifiedBy>Microsoft Office User</cp:lastModifiedBy>
  <cp:revision>29</cp:revision>
  <cp:lastPrinted>2011-09-19T22:47:00Z</cp:lastPrinted>
  <dcterms:created xsi:type="dcterms:W3CDTF">2013-11-23T15:29:00Z</dcterms:created>
  <dcterms:modified xsi:type="dcterms:W3CDTF">2018-04-16T12:34:00Z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ba804e36-70bd-4a82-921d-da630b908fdd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